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8F7773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13-14 декабря</w:t>
      </w:r>
      <w:r w:rsidR="009E32AA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>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524596" w:rsidRDefault="00D0383A" w:rsidP="0052459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524596" w:rsidRPr="00524596" w:rsidRDefault="00524596" w:rsidP="00524596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524596">
        <w:rPr>
          <w:rFonts w:ascii="Arial" w:hAnsi="Arial" w:cs="Arial"/>
          <w:sz w:val="32"/>
          <w:szCs w:val="32"/>
        </w:rPr>
        <w:t>АКТУАЛЬНЫЕ ВОПРОСЫ ВНЕШНЕЭКОНОМИЧЕСКОЙ ДЕЯТЕЛЬНОСТИ В НОВЫХ УСЛОВИЯХ. ТАМОЖЕННОЕ РЕГУЛИРОВАНИЕ И ВАЛЮТНЫЙ КОНТРОЛЬ В 2017 Г</w:t>
      </w:r>
    </w:p>
    <w:p w:rsidR="008354B6" w:rsidRPr="008354B6" w:rsidRDefault="008354B6" w:rsidP="008354B6">
      <w:pPr>
        <w:rPr>
          <w:rFonts w:ascii="Arial" w:hAnsi="Arial" w:cs="Arial"/>
        </w:rPr>
      </w:pP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8354B6" w:rsidRDefault="009E644F" w:rsidP="00524596">
      <w:pPr>
        <w:shd w:val="clear" w:color="auto" w:fill="DDFFDD"/>
        <w:spacing w:line="276" w:lineRule="auto"/>
        <w:rPr>
          <w:rFonts w:ascii="Arial" w:hAnsi="Arial" w:cs="Arial"/>
          <w:b/>
          <w:bCs/>
          <w:color w:val="990033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524596" w:rsidRPr="00524596">
        <w:rPr>
          <w:rFonts w:ascii="Arial" w:hAnsi="Arial" w:cs="Arial"/>
          <w:sz w:val="22"/>
          <w:szCs w:val="22"/>
        </w:rPr>
        <w:t>Изменения Таможенного кодекса и валютного законодательства в 2017 году.</w:t>
      </w:r>
      <w:r w:rsidR="008354B6" w:rsidRPr="00524596">
        <w:rPr>
          <w:rFonts w:ascii="Arial" w:hAnsi="Arial" w:cs="Arial"/>
          <w:b/>
          <w:bCs/>
          <w:color w:val="990033"/>
          <w:sz w:val="22"/>
          <w:szCs w:val="22"/>
        </w:rPr>
        <w:t> </w:t>
      </w:r>
    </w:p>
    <w:p w:rsidR="00503147" w:rsidRPr="00F4204A" w:rsidRDefault="00503147" w:rsidP="00503147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7F6796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</w:t>
      </w:r>
      <w:r w:rsidR="00503147">
        <w:rPr>
          <w:rFonts w:ascii="Arial" w:hAnsi="Arial" w:cs="Arial"/>
          <w:sz w:val="22"/>
          <w:szCs w:val="22"/>
        </w:rPr>
        <w:t>Директоров</w:t>
      </w:r>
      <w:r w:rsidR="007F6796" w:rsidRPr="007F6796">
        <w:rPr>
          <w:rFonts w:ascii="Arial" w:hAnsi="Arial" w:cs="Arial"/>
          <w:sz w:val="22"/>
          <w:szCs w:val="22"/>
        </w:rPr>
        <w:t xml:space="preserve"> в</w:t>
      </w:r>
      <w:r w:rsidR="00503147">
        <w:rPr>
          <w:rFonts w:ascii="Arial" w:hAnsi="Arial" w:cs="Arial"/>
          <w:sz w:val="22"/>
          <w:szCs w:val="22"/>
        </w:rPr>
        <w:t>нешнеторговых фирм; руководителей и сотрудников</w:t>
      </w:r>
      <w:r w:rsidR="007F6796" w:rsidRPr="007F6796">
        <w:rPr>
          <w:rFonts w:ascii="Arial" w:hAnsi="Arial" w:cs="Arial"/>
          <w:sz w:val="22"/>
          <w:szCs w:val="22"/>
        </w:rPr>
        <w:t xml:space="preserve"> служб ВЭД и логистики; фин</w:t>
      </w:r>
      <w:r w:rsidR="00503147">
        <w:rPr>
          <w:rFonts w:ascii="Arial" w:hAnsi="Arial" w:cs="Arial"/>
          <w:sz w:val="22"/>
          <w:szCs w:val="22"/>
        </w:rPr>
        <w:t>ансовых</w:t>
      </w:r>
      <w:r w:rsidR="007F6796">
        <w:rPr>
          <w:rFonts w:ascii="Arial" w:hAnsi="Arial" w:cs="Arial"/>
          <w:sz w:val="22"/>
          <w:szCs w:val="22"/>
        </w:rPr>
        <w:t xml:space="preserve"> </w:t>
      </w:r>
      <w:r w:rsidR="007F6796" w:rsidRPr="007F6796">
        <w:rPr>
          <w:rFonts w:ascii="Arial" w:hAnsi="Arial" w:cs="Arial"/>
          <w:sz w:val="22"/>
          <w:szCs w:val="22"/>
        </w:rPr>
        <w:t>директор</w:t>
      </w:r>
      <w:r w:rsidR="00503147">
        <w:rPr>
          <w:rFonts w:ascii="Arial" w:hAnsi="Arial" w:cs="Arial"/>
          <w:sz w:val="22"/>
          <w:szCs w:val="22"/>
        </w:rPr>
        <w:t>ов, главных бухгалтеров; специалистов по ВЭД, налоговых</w:t>
      </w:r>
      <w:r w:rsidR="007F6796" w:rsidRPr="007F6796">
        <w:rPr>
          <w:rFonts w:ascii="Arial" w:hAnsi="Arial" w:cs="Arial"/>
          <w:sz w:val="22"/>
          <w:szCs w:val="22"/>
        </w:rPr>
        <w:t xml:space="preserve"> </w:t>
      </w:r>
      <w:r w:rsidR="00503147">
        <w:rPr>
          <w:rFonts w:ascii="Arial" w:hAnsi="Arial" w:cs="Arial"/>
          <w:sz w:val="22"/>
          <w:szCs w:val="22"/>
        </w:rPr>
        <w:t>консультантов</w:t>
      </w:r>
      <w:r w:rsidR="007F6796" w:rsidRPr="007F6796">
        <w:rPr>
          <w:rFonts w:ascii="Arial" w:hAnsi="Arial" w:cs="Arial"/>
          <w:sz w:val="22"/>
          <w:szCs w:val="22"/>
        </w:rPr>
        <w:t>, которые занимаются планированием и реализацией внешнеэкономической</w:t>
      </w:r>
      <w:r w:rsidR="00503147">
        <w:rPr>
          <w:rFonts w:ascii="Arial" w:hAnsi="Arial" w:cs="Arial"/>
          <w:sz w:val="22"/>
          <w:szCs w:val="22"/>
        </w:rPr>
        <w:t xml:space="preserve"> деятельностью; юристов</w:t>
      </w:r>
      <w:r w:rsidR="007F6796" w:rsidRPr="007F6796">
        <w:rPr>
          <w:rFonts w:ascii="Arial" w:hAnsi="Arial" w:cs="Arial"/>
          <w:sz w:val="22"/>
          <w:szCs w:val="22"/>
        </w:rPr>
        <w:t xml:space="preserve"> компаний, занимающихся внешнеэкономической деятельностью</w:t>
      </w:r>
      <w:r w:rsidR="00503147">
        <w:rPr>
          <w:rFonts w:ascii="Arial" w:hAnsi="Arial" w:cs="Arial"/>
          <w:sz w:val="22"/>
          <w:szCs w:val="22"/>
        </w:rPr>
        <w:t>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>г. Москва, Алтуфьевское шоссе, д.2, гостиница «Восход»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8F7773">
        <w:rPr>
          <w:rFonts w:ascii="Arial" w:hAnsi="Arial" w:cs="Arial"/>
          <w:color w:val="000000"/>
          <w:sz w:val="22"/>
          <w:szCs w:val="20"/>
        </w:rPr>
        <w:t>13 декабря</w:t>
      </w:r>
      <w:bookmarkStart w:id="0" w:name="_GoBack"/>
      <w:bookmarkEnd w:id="0"/>
      <w:r w:rsidR="00A413AC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 xml:space="preserve">1.    Особенности таможенно-тарифного регулирования на территории ЕАЭС 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Основные принципы и цели функционирования ЕАЭС.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Базовые соглашения Единого экономического пространства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Единый таможенный тариф ЕАЭС.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Тарифные преференции и тарифные льготы в отношении товаров, ввозимых на территорию России.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>2</w:t>
      </w:r>
      <w:r w:rsidRPr="007F6796">
        <w:rPr>
          <w:rFonts w:ascii="Arial" w:hAnsi="Arial" w:cs="Arial"/>
          <w:sz w:val="22"/>
          <w:szCs w:val="22"/>
        </w:rPr>
        <w:t xml:space="preserve">.    </w:t>
      </w:r>
      <w:r w:rsidRPr="007F6796">
        <w:rPr>
          <w:rFonts w:ascii="Arial" w:hAnsi="Arial" w:cs="Arial"/>
          <w:b/>
          <w:bCs/>
          <w:sz w:val="22"/>
          <w:szCs w:val="22"/>
        </w:rPr>
        <w:t xml:space="preserve">Единое нетарифное регулирование на территории ЕАЭС 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Товары, в отношении которых применяются запреты или ограничения на ввоз или вывоз государствами - участниками ЕАЭС в торговле с третьими странами.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ввоза на таможенную территорию и вывоза с таможенной территории ЕАЭС товаров, ограниченных к перемещению через границу таможенного союза.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Правила и порядок выдачи лицензий и разрешений на экспорт-импорт.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и порядок обращении продукции, подлежащей обязательной оценке (подтверждению) соответствия, на таможенной территории ЕАЭС.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Применение санитарных, ветеринарных и фитосанитарных мер на территории ЕАЭС (перечни товаров, формы документов, порядок осуществления контроля, </w:t>
      </w:r>
      <w:proofErr w:type="spellStart"/>
      <w:r w:rsidRPr="007F6796">
        <w:rPr>
          <w:rFonts w:ascii="Arial" w:hAnsi="Arial" w:cs="Arial"/>
          <w:sz w:val="22"/>
          <w:szCs w:val="22"/>
        </w:rPr>
        <w:t>и.т.д</w:t>
      </w:r>
      <w:proofErr w:type="spellEnd"/>
      <w:r w:rsidRPr="007F6796">
        <w:rPr>
          <w:rFonts w:ascii="Arial" w:hAnsi="Arial" w:cs="Arial"/>
          <w:sz w:val="22"/>
          <w:szCs w:val="22"/>
        </w:rPr>
        <w:t>.)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lastRenderedPageBreak/>
        <w:t xml:space="preserve">3.    Нововведения по Таможенному кодексу ЕАЭС (ТК ЕАЭС) 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Новеллы ТК ЕАЭС в части декларирования, выпуска товаров и таможенного контроля.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Упрощение порядка совершения таможенных операций при декларировании и выпуске товаров, предусмотренные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Новые условия получения статуса Уполномоченного экономического оператора по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Требования к лицам, осуществляющим деятельность в сфере таможенного дела.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Таможенные процедуры, предусмотренные ТК ЕАЭС, условия и порядок их применения.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исчисления, уплаты и возврата таможенных платежей в соответствие с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Способы обеспечения уплаты таможенных платежей, определение суммы обеспечения уплаты таможенных платежей, предусмотренные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Порядок, процедура и условия принудительного взыскания таможенных платежей.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Прибытие товаров и транспортных средств на таможенную территорию ЕАЭС. Порядок применения таможенной процедуры таможенного транзита, предусмотренные ТК ЕАЭС.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 xml:space="preserve">4.    Нововведения по вопросам таможенной стоимости товаров в Таможенном кодексе ЕАЭС 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>5.    Нововведения в ТК ЕАЭС по сравнению с ТК ТС союза по вопросам таможенной стоимости товаров.</w:t>
      </w:r>
      <w:r w:rsidRPr="007F6796">
        <w:rPr>
          <w:rFonts w:ascii="Arial" w:hAnsi="Arial" w:cs="Arial"/>
          <w:sz w:val="22"/>
          <w:szCs w:val="22"/>
        </w:rPr>
        <w:t xml:space="preserve"> 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>6. Изменения в системе валютного законодательства в РФ в 2016-17 гг., действующее валютное регулирование в РФ.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Нормативно-правовая база валютного регулирования в Российской Федерации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Актуальные изменения валютного законодательства РФ и их последствия в практике внешнеэкономической деятельности компаний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Действие федерального закона «О валютном регулировании и валютном контроле» 173-ФЗ (с изменениями, вступившими в силу в 2015 году и вступающими в силу в 2016 г.)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Проекты будущих изменений Федерального закона «О валютном регулировании и валютном контроле»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Основные положения валютного регулирования и их использование в практике экономической деятельности компаний и индивидуальных предпринимателей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Особенности проведения валютных операций резидентами и нерезидентами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Порядок открытия и ведения счетов резидентов за пределами территории РФ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Режим зарубежных счетов и правила осуществления резидентами валютных операций за счет средств, находящихся на счетах в банках за рубежом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Репатриация валютной выручки: правила, особенности, практика и ответственность за нарушения. Особенности требования репатриации при финансовых операциях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7. Новое в осуществлении валютного контроля операций, связанных с внешнеторговой деятельностью, получением и предоставлением кредитов и займов, правоприменительная практика действующего законодательства.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lastRenderedPageBreak/>
        <w:t>Паспорт сделки: правила открытия, оформления, ведения, перевода и закрытия. Досье по паспорту сделки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Справка о валютных операциях: особенности ее формирования, сроки и правила ее представления в уполномоченный банк при осуществлении операций в иностранной и национальной валюте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Справка о подтверждающих документах при осуществлении внешнеторговой деятельности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Подтверждающие документы, статистическая форма учета перемещения товаров - порядок представления агентам валютного контроля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валютного контроля в неторговом обороте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Ведомость банковского контроля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8. Порядок представления документов в уполномоченный банк при осуществлении валютных операций. Порядок оформления/переоформления/приема на обслуживание/закрытия паспорта сделки. Практика взаимодействия с банками: 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порядок оформления Справки о валютных </w:t>
      </w:r>
      <w:proofErr w:type="gramStart"/>
      <w:r w:rsidRPr="007F6796">
        <w:rPr>
          <w:rFonts w:ascii="Arial" w:hAnsi="Arial" w:cs="Arial"/>
          <w:sz w:val="22"/>
          <w:szCs w:val="22"/>
        </w:rPr>
        <w:t>операциях</w:t>
      </w:r>
      <w:proofErr w:type="gramEnd"/>
      <w:r w:rsidRPr="007F6796">
        <w:rPr>
          <w:rFonts w:ascii="Arial" w:hAnsi="Arial" w:cs="Arial"/>
          <w:sz w:val="22"/>
          <w:szCs w:val="22"/>
        </w:rPr>
        <w:t xml:space="preserve"> в том числе при осуществлении расчетов не через Банк ПС;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порядок оформления Справок о подтверждающих документах; 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отраслевые особенности при определении обосновывающих и подтверждающих документов (страхование, строительство, услуги, т.п.).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Сроки представления документов в уполномоченный банк.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9.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Контроль за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репатриацией экспортной выручки (возвратом авансовых платежей).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10. Виды операций, предусматривающих особый учет.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11.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Особенности оформления ПС и учета валютных операций, подтверждающих документов резидентами при полной уступке прав требования другому резиденту</w:t>
      </w:r>
      <w:r w:rsidRPr="007F6796">
        <w:rPr>
          <w:rFonts w:ascii="Arial" w:hAnsi="Arial" w:cs="Arial"/>
          <w:sz w:val="22"/>
          <w:szCs w:val="22"/>
        </w:rPr>
        <w:t xml:space="preserve"> (при полном переводе долга по контракту (кредитному договору) другому резиденту.</w:t>
      </w:r>
      <w:proofErr w:type="gramEnd"/>
      <w:r w:rsidRPr="007F6796">
        <w:rPr>
          <w:rFonts w:ascii="Arial" w:hAnsi="Arial" w:cs="Arial"/>
          <w:sz w:val="22"/>
          <w:szCs w:val="22"/>
        </w:rPr>
        <w:t xml:space="preserve"> Реорганизация ЮЛ.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12. Особенности учета резидентами валютных операций и подтверждающих документов по оформленному ПС при осуществлении валютных операций</w:t>
      </w:r>
      <w:r w:rsidRPr="007F6796">
        <w:rPr>
          <w:rFonts w:ascii="Arial" w:hAnsi="Arial" w:cs="Arial"/>
          <w:sz w:val="22"/>
          <w:szCs w:val="22"/>
        </w:rPr>
        <w:t xml:space="preserve"> (исполнении обязательств иным способом) третьими лицами – резидентами, а также при частичной уступке прав требований (частичном переводе долга) другому резиденту.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13.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Особенности учета резидентами валютных операций и подтверждающих документов по оформленному ПС при исполнении обязательств по контракту</w:t>
      </w:r>
      <w:r w:rsidRPr="007F6796">
        <w:rPr>
          <w:rFonts w:ascii="Arial" w:hAnsi="Arial" w:cs="Arial"/>
          <w:sz w:val="22"/>
          <w:szCs w:val="22"/>
        </w:rPr>
        <w:t xml:space="preserve"> (полном или частичном) третьими лицами – нерезидентами, в том числе в случае частичной уступки своих прав требования нерезиденту.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14.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Особенности учета резидентами валютных операций и подтверждающих документов по оформленному ПС при полной уступке своих прав требований по контракту нерезиденту.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15.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Особенности оформления ПС и учета резидентом валютных операций и подтверждающих документов по оформленному ПС при наличии в контракте нескольких сторон по договору.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lastRenderedPageBreak/>
        <w:t>16.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Особенности оформления ПС и учета валютных операций при осуществлении финансирования резидента – экспортера под уступку денежного требованиях (факторинг) фактором – резидентом.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17. Таможенная стоимость товаров: механизм определения и контроля. Определение таможенной стоимости. Система управления рисками. Дополнительная проверка. Корректировка таможенной стоимости.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18. Документальное подтверждение сведений. Обеспечение  уплаты таможенных пошлин и налогов.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19. Разновидности внешнеторгового контракта и рекомендации для их заключения.</w:t>
      </w:r>
      <w:r w:rsidRPr="007F6796">
        <w:rPr>
          <w:rFonts w:ascii="Arial" w:hAnsi="Arial" w:cs="Arial"/>
          <w:sz w:val="22"/>
          <w:szCs w:val="22"/>
        </w:rPr>
        <w:t xml:space="preserve"> Разновидности внешнеторгового контракта. Существенные условия международного контракта. Порядок согласования разногласий по проекту контракта. Условия о товаре.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20. Финансовые условия контракта 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Возможные варианты формулировки условия о цене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Бонусы, скидки и премии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Отсрочки платежа и предоплаты, авансы, предельные отсрочки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оплаты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 xml:space="preserve">21. Транспортные условия внешнеторгового контракта </w:t>
      </w:r>
    </w:p>
    <w:p w:rsidR="007F6796" w:rsidRPr="007F6796" w:rsidRDefault="007F6796" w:rsidP="007F6796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Условия доставки товара, направление товара в различные подразделения покупателя</w:t>
      </w:r>
    </w:p>
    <w:p w:rsidR="007F6796" w:rsidRPr="007F6796" w:rsidRDefault="007F6796" w:rsidP="007F6796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Использование условий </w:t>
      </w: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</w:p>
    <w:p w:rsidR="007F6796" w:rsidRPr="007F6796" w:rsidRDefault="007F6796" w:rsidP="007F6796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Документальное оформление перевозки, товаросопроводительные документы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22. Порядок передачи товара 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приемки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Определение количества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Определение качества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Документальное оформление передачи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Подтверждение полномочий лиц, принимающих товар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Передача товара и переход права собственности, рисков, случайной гибели или повреждения товара 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23. Ответственность сторон и последствия несоблюдения требований к качеству или количеству товара 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фиксации дефектов товара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Общие последствия несоблюдения требований к качеству товара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Существенное нарушение требований к качеству и его правовые последствия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фиксации недопоставки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восполнения недопоставки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Последствия расхождения в ассортименте товаров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Формулировка дополнительных условий об ответственности: обязанности, за нарушение которых следует устанавливать санкции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lastRenderedPageBreak/>
        <w:t>особенности взыскания неустоек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расчет убытков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7F6796">
        <w:rPr>
          <w:rFonts w:ascii="Arial" w:hAnsi="Arial" w:cs="Arial"/>
          <w:sz w:val="22"/>
          <w:szCs w:val="22"/>
        </w:rPr>
        <w:t>претензионно</w:t>
      </w:r>
      <w:proofErr w:type="spellEnd"/>
      <w:r w:rsidRPr="007F6796">
        <w:rPr>
          <w:rFonts w:ascii="Arial" w:hAnsi="Arial" w:cs="Arial"/>
          <w:sz w:val="22"/>
          <w:szCs w:val="22"/>
        </w:rPr>
        <w:t>-исковая работа по международному контракту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24. Другие условия и особенности применения внешнеторгового контракта </w:t>
      </w:r>
    </w:p>
    <w:p w:rsidR="007F6796" w:rsidRPr="007F6796" w:rsidRDefault="007F6796" w:rsidP="007F6796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Типовые условия о форс-мажоре, арбитраже и др.</w:t>
      </w:r>
    </w:p>
    <w:p w:rsidR="007F6796" w:rsidRPr="007F6796" w:rsidRDefault="007F6796" w:rsidP="007F6796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Осложнения на таможне из-за условий и формулировок контракта и документов по контракту</w:t>
      </w:r>
    </w:p>
    <w:p w:rsidR="007F6796" w:rsidRPr="007F6796" w:rsidRDefault="007F6796" w:rsidP="007F6796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Заключение, изменение, дополнение, расторжение контрактов по почте, факсу, e-</w:t>
      </w:r>
      <w:proofErr w:type="spellStart"/>
      <w:r w:rsidRPr="007F6796">
        <w:rPr>
          <w:rFonts w:ascii="Arial" w:hAnsi="Arial" w:cs="Arial"/>
          <w:sz w:val="22"/>
          <w:szCs w:val="22"/>
        </w:rPr>
        <w:t>mail</w:t>
      </w:r>
      <w:proofErr w:type="spellEnd"/>
      <w:r w:rsidRPr="007F6796">
        <w:rPr>
          <w:rFonts w:ascii="Arial" w:hAnsi="Arial" w:cs="Arial"/>
          <w:sz w:val="22"/>
          <w:szCs w:val="22"/>
        </w:rPr>
        <w:t>, на встрече представителей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25. </w:t>
      </w:r>
      <w:proofErr w:type="spellStart"/>
      <w:r w:rsidRPr="007F6796">
        <w:rPr>
          <w:rFonts w:ascii="Arial" w:hAnsi="Arial" w:cs="Arial"/>
          <w:b/>
          <w:bCs/>
          <w:sz w:val="22"/>
          <w:szCs w:val="22"/>
        </w:rPr>
        <w:t>Инкотремс</w:t>
      </w:r>
      <w:proofErr w:type="spellEnd"/>
      <w:r w:rsidRPr="007F6796">
        <w:rPr>
          <w:rFonts w:ascii="Arial" w:hAnsi="Arial" w:cs="Arial"/>
          <w:b/>
          <w:bCs/>
          <w:sz w:val="22"/>
          <w:szCs w:val="22"/>
        </w:rPr>
        <w:t xml:space="preserve"> и порядок применения </w:t>
      </w:r>
    </w:p>
    <w:p w:rsidR="007F6796" w:rsidRPr="007F6796" w:rsidRDefault="007F6796" w:rsidP="007F6796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  <w:r w:rsidRPr="007F6796">
        <w:rPr>
          <w:rFonts w:ascii="Arial" w:hAnsi="Arial" w:cs="Arial"/>
          <w:sz w:val="22"/>
          <w:szCs w:val="22"/>
        </w:rPr>
        <w:t xml:space="preserve"> 2000,</w:t>
      </w:r>
    </w:p>
    <w:p w:rsidR="007F6796" w:rsidRPr="007F6796" w:rsidRDefault="007F6796" w:rsidP="007F6796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  <w:r w:rsidRPr="007F6796">
        <w:rPr>
          <w:rFonts w:ascii="Arial" w:hAnsi="Arial" w:cs="Arial"/>
          <w:sz w:val="22"/>
          <w:szCs w:val="22"/>
        </w:rPr>
        <w:t xml:space="preserve"> 2010, нюансы применения и различия с </w:t>
      </w: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  <w:r w:rsidRPr="007F6796">
        <w:rPr>
          <w:rFonts w:ascii="Arial" w:hAnsi="Arial" w:cs="Arial"/>
          <w:sz w:val="22"/>
          <w:szCs w:val="22"/>
        </w:rPr>
        <w:t xml:space="preserve"> 2000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26. Договоры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с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участникам ТС </w:t>
      </w:r>
    </w:p>
    <w:p w:rsidR="007F6796" w:rsidRPr="007F6796" w:rsidRDefault="007F6796" w:rsidP="007F6796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Договоры и особенности применения при сделках с Белоруссией, документооборот</w:t>
      </w:r>
    </w:p>
    <w:p w:rsidR="007F6796" w:rsidRPr="007F6796" w:rsidRDefault="007F6796" w:rsidP="007F6796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Договоры и особенности применения при сделках с Казахстаном, документооборот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27. Ответственность за нарушения валютного законодательства и актов органов валютного регулирования. 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Правила представления органами и агентами валютного контроля в уполномоченный Правительством Российской Федерации орган валютного контроля необходимых документов и информации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Отдельные вопросы используемых в сфере валютного контроля информационных технологий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Минимизация рисков, связанных с проведением валютных операций при осуществлении внешнеэкономической деятельности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Предупреждение правонарушений валютного законодательства Российской Федерации и актов органов валютного регулирования. Нормы административной и уголовной ответственности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Комплекс мер по созданию внутрифирменной системы валютного контроля. Место внутрифирменной системы валютного контроля в организационной структуре предприятия (организации)</w:t>
      </w:r>
    </w:p>
    <w:p w:rsidR="007C5B28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Требования законодательства к условиям заключаемых во внешнеторговой деятельности договоров (контрактов)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823267">
        <w:rPr>
          <w:rFonts w:ascii="Arial" w:hAnsi="Arial" w:cs="Arial"/>
          <w:b/>
          <w:color w:val="000000"/>
          <w:sz w:val="22"/>
          <w:szCs w:val="22"/>
        </w:rPr>
        <w:t>23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</w:t>
      </w:r>
      <w:r w:rsidRPr="00D77A48">
        <w:rPr>
          <w:rFonts w:ascii="Arial" w:hAnsi="Arial" w:cs="Arial"/>
          <w:b/>
          <w:bCs/>
          <w:color w:val="000000"/>
          <w:sz w:val="22"/>
        </w:rPr>
        <w:lastRenderedPageBreak/>
        <w:t>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68" w:rsidRDefault="001B4868" w:rsidP="00154D2E">
      <w:r>
        <w:separator/>
      </w:r>
    </w:p>
  </w:endnote>
  <w:endnote w:type="continuationSeparator" w:id="0">
    <w:p w:rsidR="001B4868" w:rsidRDefault="001B4868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7C5B28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AD31E1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hyperlink r:id="rId1" w:history="1">
      <w:r w:rsidR="009E644F" w:rsidRPr="008354B6">
        <w:rPr>
          <w:rStyle w:val="a9"/>
          <w:rFonts w:ascii="Arial" w:hAnsi="Arial" w:cs="Arial"/>
          <w:color w:val="auto"/>
          <w:sz w:val="22"/>
          <w:u w:val="none"/>
          <w:lang w:val="en-US"/>
        </w:rPr>
        <w:t>mail@mirseminarov.com</w:t>
      </w:r>
    </w:hyperlink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68" w:rsidRDefault="001B4868" w:rsidP="00154D2E">
      <w:r>
        <w:separator/>
      </w:r>
    </w:p>
  </w:footnote>
  <w:footnote w:type="continuationSeparator" w:id="0">
    <w:p w:rsidR="001B4868" w:rsidRDefault="001B4868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41B4B"/>
    <w:multiLevelType w:val="multilevel"/>
    <w:tmpl w:val="A9F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B278B"/>
    <w:multiLevelType w:val="multilevel"/>
    <w:tmpl w:val="5B3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20909"/>
    <w:multiLevelType w:val="multilevel"/>
    <w:tmpl w:val="C1F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3F8C"/>
    <w:multiLevelType w:val="multilevel"/>
    <w:tmpl w:val="48D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3195"/>
    <w:multiLevelType w:val="multilevel"/>
    <w:tmpl w:val="B23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87B90"/>
    <w:multiLevelType w:val="multilevel"/>
    <w:tmpl w:val="490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73167"/>
    <w:multiLevelType w:val="multilevel"/>
    <w:tmpl w:val="D78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C4C6C"/>
    <w:multiLevelType w:val="multilevel"/>
    <w:tmpl w:val="040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8651A"/>
    <w:multiLevelType w:val="multilevel"/>
    <w:tmpl w:val="D65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B1D20"/>
    <w:multiLevelType w:val="multilevel"/>
    <w:tmpl w:val="040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72481"/>
    <w:multiLevelType w:val="multilevel"/>
    <w:tmpl w:val="3FD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733FB"/>
    <w:multiLevelType w:val="multilevel"/>
    <w:tmpl w:val="E9E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5132E"/>
    <w:multiLevelType w:val="multilevel"/>
    <w:tmpl w:val="257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D2BDD"/>
    <w:multiLevelType w:val="multilevel"/>
    <w:tmpl w:val="176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36"/>
  </w:num>
  <w:num w:numId="4">
    <w:abstractNumId w:val="15"/>
  </w:num>
  <w:num w:numId="5">
    <w:abstractNumId w:val="18"/>
  </w:num>
  <w:num w:numId="6">
    <w:abstractNumId w:val="32"/>
  </w:num>
  <w:num w:numId="7">
    <w:abstractNumId w:val="47"/>
  </w:num>
  <w:num w:numId="8">
    <w:abstractNumId w:val="35"/>
  </w:num>
  <w:num w:numId="9">
    <w:abstractNumId w:val="43"/>
  </w:num>
  <w:num w:numId="10">
    <w:abstractNumId w:val="20"/>
  </w:num>
  <w:num w:numId="11">
    <w:abstractNumId w:val="9"/>
  </w:num>
  <w:num w:numId="12">
    <w:abstractNumId w:val="25"/>
  </w:num>
  <w:num w:numId="13">
    <w:abstractNumId w:val="29"/>
  </w:num>
  <w:num w:numId="14">
    <w:abstractNumId w:val="23"/>
  </w:num>
  <w:num w:numId="15">
    <w:abstractNumId w:val="21"/>
  </w:num>
  <w:num w:numId="16">
    <w:abstractNumId w:val="31"/>
  </w:num>
  <w:num w:numId="17">
    <w:abstractNumId w:val="28"/>
  </w:num>
  <w:num w:numId="18">
    <w:abstractNumId w:val="22"/>
  </w:num>
  <w:num w:numId="19">
    <w:abstractNumId w:val="37"/>
  </w:num>
  <w:num w:numId="20">
    <w:abstractNumId w:val="8"/>
  </w:num>
  <w:num w:numId="21">
    <w:abstractNumId w:val="5"/>
  </w:num>
  <w:num w:numId="22">
    <w:abstractNumId w:val="16"/>
  </w:num>
  <w:num w:numId="23">
    <w:abstractNumId w:val="42"/>
  </w:num>
  <w:num w:numId="24">
    <w:abstractNumId w:val="38"/>
  </w:num>
  <w:num w:numId="25">
    <w:abstractNumId w:val="17"/>
  </w:num>
  <w:num w:numId="26">
    <w:abstractNumId w:val="11"/>
  </w:num>
  <w:num w:numId="27">
    <w:abstractNumId w:val="33"/>
  </w:num>
  <w:num w:numId="28">
    <w:abstractNumId w:val="45"/>
  </w:num>
  <w:num w:numId="29">
    <w:abstractNumId w:val="24"/>
  </w:num>
  <w:num w:numId="30">
    <w:abstractNumId w:val="0"/>
  </w:num>
  <w:num w:numId="31">
    <w:abstractNumId w:val="26"/>
  </w:num>
  <w:num w:numId="32">
    <w:abstractNumId w:val="12"/>
  </w:num>
  <w:num w:numId="33">
    <w:abstractNumId w:val="34"/>
  </w:num>
  <w:num w:numId="34">
    <w:abstractNumId w:val="27"/>
  </w:num>
  <w:num w:numId="35">
    <w:abstractNumId w:val="41"/>
  </w:num>
  <w:num w:numId="36">
    <w:abstractNumId w:val="4"/>
  </w:num>
  <w:num w:numId="37">
    <w:abstractNumId w:val="3"/>
  </w:num>
  <w:num w:numId="38">
    <w:abstractNumId w:val="13"/>
  </w:num>
  <w:num w:numId="39">
    <w:abstractNumId w:val="1"/>
  </w:num>
  <w:num w:numId="40">
    <w:abstractNumId w:val="7"/>
  </w:num>
  <w:num w:numId="41">
    <w:abstractNumId w:val="2"/>
  </w:num>
  <w:num w:numId="42">
    <w:abstractNumId w:val="46"/>
  </w:num>
  <w:num w:numId="43">
    <w:abstractNumId w:val="19"/>
  </w:num>
  <w:num w:numId="44">
    <w:abstractNumId w:val="39"/>
  </w:num>
  <w:num w:numId="45">
    <w:abstractNumId w:val="30"/>
  </w:num>
  <w:num w:numId="46">
    <w:abstractNumId w:val="14"/>
  </w:num>
  <w:num w:numId="47">
    <w:abstractNumId w:val="1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132B4"/>
    <w:rsid w:val="000279A6"/>
    <w:rsid w:val="00027A31"/>
    <w:rsid w:val="000432B0"/>
    <w:rsid w:val="00055E82"/>
    <w:rsid w:val="0008652D"/>
    <w:rsid w:val="00106855"/>
    <w:rsid w:val="00117E3E"/>
    <w:rsid w:val="001310A4"/>
    <w:rsid w:val="0013737D"/>
    <w:rsid w:val="00154D2E"/>
    <w:rsid w:val="001A535A"/>
    <w:rsid w:val="001B4868"/>
    <w:rsid w:val="00260D48"/>
    <w:rsid w:val="00284690"/>
    <w:rsid w:val="00293868"/>
    <w:rsid w:val="002D35B5"/>
    <w:rsid w:val="002E072B"/>
    <w:rsid w:val="00330EC2"/>
    <w:rsid w:val="00360D35"/>
    <w:rsid w:val="00365506"/>
    <w:rsid w:val="00385471"/>
    <w:rsid w:val="003B404A"/>
    <w:rsid w:val="003B689A"/>
    <w:rsid w:val="003C0C80"/>
    <w:rsid w:val="003D0DCD"/>
    <w:rsid w:val="0045329B"/>
    <w:rsid w:val="00472BAB"/>
    <w:rsid w:val="004D7BCD"/>
    <w:rsid w:val="004E5483"/>
    <w:rsid w:val="00503147"/>
    <w:rsid w:val="00524596"/>
    <w:rsid w:val="005349CA"/>
    <w:rsid w:val="00561E63"/>
    <w:rsid w:val="005C0CDE"/>
    <w:rsid w:val="005E70EB"/>
    <w:rsid w:val="00601AB5"/>
    <w:rsid w:val="00606FA0"/>
    <w:rsid w:val="0064363E"/>
    <w:rsid w:val="0065106F"/>
    <w:rsid w:val="00663C33"/>
    <w:rsid w:val="0067364E"/>
    <w:rsid w:val="0067395D"/>
    <w:rsid w:val="006B1D98"/>
    <w:rsid w:val="006C0B7E"/>
    <w:rsid w:val="006D495C"/>
    <w:rsid w:val="006F781B"/>
    <w:rsid w:val="00702FC3"/>
    <w:rsid w:val="007229F3"/>
    <w:rsid w:val="00773404"/>
    <w:rsid w:val="007836D6"/>
    <w:rsid w:val="007C5B28"/>
    <w:rsid w:val="007E2BF6"/>
    <w:rsid w:val="007E306B"/>
    <w:rsid w:val="007F6796"/>
    <w:rsid w:val="00801E7A"/>
    <w:rsid w:val="00804109"/>
    <w:rsid w:val="0081031E"/>
    <w:rsid w:val="008144D8"/>
    <w:rsid w:val="00823267"/>
    <w:rsid w:val="0082712C"/>
    <w:rsid w:val="008279E0"/>
    <w:rsid w:val="008354B6"/>
    <w:rsid w:val="00850FBC"/>
    <w:rsid w:val="00852B52"/>
    <w:rsid w:val="00877FED"/>
    <w:rsid w:val="008C33EB"/>
    <w:rsid w:val="008E480C"/>
    <w:rsid w:val="008F7773"/>
    <w:rsid w:val="00957FE0"/>
    <w:rsid w:val="009631F3"/>
    <w:rsid w:val="009830F1"/>
    <w:rsid w:val="00992F49"/>
    <w:rsid w:val="009D1AB4"/>
    <w:rsid w:val="009E32AA"/>
    <w:rsid w:val="009E644F"/>
    <w:rsid w:val="009F5EA3"/>
    <w:rsid w:val="009F6478"/>
    <w:rsid w:val="00A16875"/>
    <w:rsid w:val="00A301E4"/>
    <w:rsid w:val="00A367F4"/>
    <w:rsid w:val="00A413AC"/>
    <w:rsid w:val="00AD31E1"/>
    <w:rsid w:val="00AE21C3"/>
    <w:rsid w:val="00B31F7A"/>
    <w:rsid w:val="00B42868"/>
    <w:rsid w:val="00B60567"/>
    <w:rsid w:val="00B6352A"/>
    <w:rsid w:val="00B9280A"/>
    <w:rsid w:val="00BA71C1"/>
    <w:rsid w:val="00BC1AE7"/>
    <w:rsid w:val="00BC1EAF"/>
    <w:rsid w:val="00BE4216"/>
    <w:rsid w:val="00C27238"/>
    <w:rsid w:val="00C32D44"/>
    <w:rsid w:val="00C646C2"/>
    <w:rsid w:val="00D0383A"/>
    <w:rsid w:val="00D14EDC"/>
    <w:rsid w:val="00D4227E"/>
    <w:rsid w:val="00D44F4F"/>
    <w:rsid w:val="00D549D5"/>
    <w:rsid w:val="00D77A48"/>
    <w:rsid w:val="00D84907"/>
    <w:rsid w:val="00DC12E8"/>
    <w:rsid w:val="00DD67C7"/>
    <w:rsid w:val="00DE53B6"/>
    <w:rsid w:val="00E17BF5"/>
    <w:rsid w:val="00E245FF"/>
    <w:rsid w:val="00E33243"/>
    <w:rsid w:val="00E575B1"/>
    <w:rsid w:val="00E80DD9"/>
    <w:rsid w:val="00E85DF8"/>
    <w:rsid w:val="00E94E7A"/>
    <w:rsid w:val="00EB7205"/>
    <w:rsid w:val="00EC7B66"/>
    <w:rsid w:val="00ED59ED"/>
    <w:rsid w:val="00ED5CA2"/>
    <w:rsid w:val="00F12CCB"/>
    <w:rsid w:val="00F131BE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irseminar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770E-21BE-4255-A108-9D0B8F68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5</cp:revision>
  <dcterms:created xsi:type="dcterms:W3CDTF">2017-06-28T12:58:00Z</dcterms:created>
  <dcterms:modified xsi:type="dcterms:W3CDTF">2017-11-08T18:58:00Z</dcterms:modified>
</cp:coreProperties>
</file>